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1C" w:rsidRDefault="00DC281C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</w:p>
    <w:p w:rsidR="00724D35" w:rsidRPr="008E2165" w:rsidRDefault="00C6746E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OPIS</w:t>
      </w:r>
      <w:r w:rsidR="00724D35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 PREDMETU ZÁKAZKY</w:t>
      </w:r>
    </w:p>
    <w:p w:rsidR="00724D35" w:rsidRPr="008E2165" w:rsidRDefault="00724D35" w:rsidP="00152458">
      <w:pPr>
        <w:tabs>
          <w:tab w:val="center" w:pos="7938"/>
        </w:tabs>
        <w:spacing w:after="0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</w:p>
    <w:p w:rsidR="00724D3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3A27F0" w:rsidRPr="003A27F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Inteligentné inovácie v spoločnosti MET-KOV s.r.o.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DC281C" w:rsidRPr="008E2165" w:rsidRDefault="00DC281C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</w:p>
    <w:p w:rsidR="00AB78DA" w:rsidRDefault="00AB78DA" w:rsidP="00AB78D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Predmetom zákazky je dodanie inovatívnych výrobných technológií do strojárenskej výroby </w:t>
      </w:r>
      <w:r w:rsidR="00335FB8">
        <w:rPr>
          <w:rFonts w:ascii="Times New Roman" w:hAnsi="Times New Roman" w:cs="Times New Roman"/>
          <w:bCs/>
          <w:sz w:val="24"/>
          <w:szCs w:val="24"/>
          <w:lang w:val="sk-SK"/>
        </w:rPr>
        <w:t>podľa nižšie uvedenej špecifikácie</w:t>
      </w:r>
      <w:r w:rsidR="0036597A">
        <w:rPr>
          <w:rFonts w:ascii="Times New Roman" w:hAnsi="Times New Roman" w:cs="Times New Roman"/>
          <w:bCs/>
          <w:sz w:val="24"/>
          <w:szCs w:val="24"/>
          <w:lang w:val="sk-SK"/>
        </w:rPr>
        <w:t>.</w:t>
      </w:r>
    </w:p>
    <w:p w:rsidR="0036597A" w:rsidRDefault="0036597A" w:rsidP="00AB78D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36597A" w:rsidRDefault="0036597A" w:rsidP="00AB78D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>Zákazka je rozdelená na časti.</w:t>
      </w:r>
    </w:p>
    <w:p w:rsidR="0036597A" w:rsidRDefault="0036597A" w:rsidP="003659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ab/>
      </w:r>
    </w:p>
    <w:p w:rsidR="0036597A" w:rsidRDefault="0036597A" w:rsidP="003659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ab/>
        <w:t xml:space="preserve">Časť 1. s názvom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Horizontálne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vyvrtávacie a obrábacie centrum:</w:t>
      </w:r>
    </w:p>
    <w:p w:rsidR="00AB78DA" w:rsidRDefault="0036597A" w:rsidP="003659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ab/>
      </w:r>
      <w:r w:rsidR="00AB78DA">
        <w:rPr>
          <w:rFonts w:ascii="Times New Roman" w:hAnsi="Times New Roman" w:cs="Times New Roman"/>
          <w:bCs/>
          <w:sz w:val="24"/>
          <w:szCs w:val="24"/>
          <w:lang w:val="sk-SK"/>
        </w:rPr>
        <w:t>Horizontálne vyvrtávacie a obrábacie centrum – 1 ks</w:t>
      </w:r>
    </w:p>
    <w:p w:rsidR="0036597A" w:rsidRDefault="0036597A" w:rsidP="003659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ab/>
      </w:r>
    </w:p>
    <w:p w:rsidR="00AB78DA" w:rsidRDefault="0036597A" w:rsidP="003659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Časť </w:t>
      </w:r>
      <w:r w:rsidR="00AB78D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 názvom </w:t>
      </w:r>
      <w:r w:rsidR="0013551F">
        <w:rPr>
          <w:rFonts w:ascii="Times New Roman" w:hAnsi="Times New Roman" w:cs="Times New Roman"/>
          <w:bCs/>
          <w:sz w:val="24"/>
          <w:szCs w:val="24"/>
          <w:lang w:val="sk-SK"/>
        </w:rPr>
        <w:t>L</w:t>
      </w:r>
      <w:r w:rsidR="00AB78DA">
        <w:rPr>
          <w:rFonts w:ascii="Times New Roman" w:hAnsi="Times New Roman" w:cs="Times New Roman"/>
          <w:bCs/>
          <w:sz w:val="24"/>
          <w:szCs w:val="24"/>
          <w:lang w:val="sk-SK"/>
        </w:rPr>
        <w:t>aser</w:t>
      </w:r>
      <w:r w:rsidR="0013551F">
        <w:rPr>
          <w:rFonts w:ascii="Times New Roman" w:hAnsi="Times New Roman" w:cs="Times New Roman"/>
          <w:bCs/>
          <w:sz w:val="24"/>
          <w:szCs w:val="24"/>
          <w:lang w:val="sk-SK"/>
        </w:rPr>
        <w:t>ový páliaci stroj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:</w:t>
      </w:r>
    </w:p>
    <w:p w:rsidR="00AB78DA" w:rsidRDefault="0036597A" w:rsidP="003659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Laserový páliaci stroj – 1 ks</w:t>
      </w:r>
    </w:p>
    <w:p w:rsidR="00AB78DA" w:rsidRDefault="00AB78DA" w:rsidP="00024197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5865B6" w:rsidRDefault="00024197" w:rsidP="00B9638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Tec</w:t>
      </w:r>
      <w:r w:rsidR="00A805D7">
        <w:rPr>
          <w:rFonts w:ascii="Times New Roman" w:hAnsi="Times New Roman" w:cs="Times New Roman"/>
          <w:b/>
          <w:bCs/>
          <w:sz w:val="24"/>
          <w:szCs w:val="24"/>
          <w:u w:val="single"/>
        </w:rPr>
        <w:t>hnická špecifikácia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3E766F" w:rsidRPr="003E76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6597A" w:rsidRDefault="0036597A" w:rsidP="00B96381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Časť 1</w:t>
      </w: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1763"/>
        <w:gridCol w:w="2710"/>
        <w:gridCol w:w="2610"/>
        <w:gridCol w:w="3373"/>
      </w:tblGrid>
      <w:tr w:rsidR="0013551F" w:rsidTr="0013551F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551F" w:rsidRPr="0036597A" w:rsidRDefault="0013551F" w:rsidP="0036597A">
            <w:pPr>
              <w:tabs>
                <w:tab w:val="left" w:pos="496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7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sk-SK"/>
              </w:rPr>
              <w:t>Horizontálne vyvrtávacie obrábacie centrum</w:t>
            </w:r>
            <w:r w:rsidRPr="00365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– 1 ks</w:t>
            </w:r>
          </w:p>
        </w:tc>
      </w:tr>
      <w:tr w:rsidR="0013551F" w:rsidTr="0013551F">
        <w:trPr>
          <w:trHeight w:val="510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Hlavné technické údaje horizontálneho vyvrtávacieho obrábacieho centra</w:t>
            </w: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Horizontálne vyvrtávacie obrábacie centrum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Priečny posuv stola (os X) v hodnote z rozmedzia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4000 mm - max. 4200 mm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Pozdĺžny posuv stola (os Z) v hodnote z rozmedzia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2000 mm - max. 2200 mm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Zvislý posuv vreteníka (os Y) v hodnote z rozmedzia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2500 mm - max. 2700 mm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Rozmer upínacej dosky otočného stola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 w:rsidP="00315E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1800 x </w:t>
            </w:r>
            <w:r w:rsidR="00315EAC"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Otočný stôl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Nosnosť stola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10 000 kg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Priemer pracovného vretena 130 mm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Rozsah otáčok otáčok pracovného vretena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10 až 3000 ot./min.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Výsuv pracovného vretena (os W)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800 mm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Nástrojová dutina pracového vretena ISO 50 (SK 50)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Výkon hlavného motora pri zaťažení S1 v hodnote z rozmedzia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40 -  max. 45 kW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Točivý moment vretena pri zaťažení S1 v hodnote z rozmedzia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2500 - max. 2600 Nm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Kontinuálne obrábanie v 3 lineárnych osiach a 1 rotačnej ose súčasne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Polohovanie otočného stola pre obrábanie v 4. ose – súvislé bez indexácie 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Riadiaci systém Heidenhain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Pr="00633BE7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Skelety základných častí z liatiny, s pevne spojenými lóžami </w:t>
            </w:r>
            <w:r w:rsidR="00633BE7" w:rsidRPr="00633B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skrutkovým spojom </w:t>
            </w:r>
            <w:r w:rsidRPr="00633BE7">
              <w:rPr>
                <w:rFonts w:ascii="Times New Roman" w:hAnsi="Times New Roman" w:cs="Times New Roman"/>
                <w:bCs/>
                <w:sz w:val="24"/>
                <w:szCs w:val="24"/>
              </w:rPr>
              <w:t>a s klznými vodiacimi plochami povrchovo kalenými a brúsenými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Pr="00633BE7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BE7"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Dopravník triesok  - hrabľový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Chladenie nástrojov - vonkajšie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 Bar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Vnútorné chladenie vretena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20 Bar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Vonkajšie i vnútorné chladenie nástrojov vzduchom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Spevňovacia príruba vretena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Odlučovanie oleja z reznej kvapaliny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ochrana obsluhy pred reznou kvapalinou a trieskami pri obrábaní (CE)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Bezpečnostné ohradenie stroja (CE)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Teplotná stabilizácia vreteníka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Monitorovanie vibrácii vretena 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Automatická kompenzácia teplotnej rozťažnosti vretena vplyvom nástroja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Automatická výmena nástrojov s robotickým manipulátorom 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Kapacita zásobníka na nástroje v hodnote z rozmedzia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30 ks - max. 40 ks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Výbava pre kalibráciu presnosti stroja v rotačných osiach prevádzanú užívateľom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áno 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Klimatizácia elektrorozvádzača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Možnosť priameho prenosu dát pre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komunikáciu s externými počítačovými aplikáciami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Možnosť manažérskeho sledovania efektivity prevádzky stroja 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Software pre automatickú kontrolu pripravenosti a priebehu výroby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Softwarové a hardwarové vybavenie pre rýchlu ochranu stroja pri kolízii stroja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pStyle w:val="Default"/>
            </w:pPr>
            <w:r>
              <w:t xml:space="preserve">Adaptívna regulácia zaťaženia jednotlivých motorov stroja bez zásahu operátora 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pStyle w:val="Default"/>
            </w:pPr>
            <w:r>
              <w:t>Systém na elimináciu vibrácií pri obrábaní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pStyle w:val="Default"/>
            </w:pPr>
            <w:r>
              <w:t>Možnosť preberania dát z DXF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>súborov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Výbava pre diaľkovú diagnostiku stroja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Náradie prvovýbava vrátane upínačov a držiakov nástrojov s príslušenstvom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60 ks</w:t>
            </w:r>
          </w:p>
        </w:tc>
      </w:tr>
      <w:tr w:rsidR="0013551F" w:rsidTr="0013551F">
        <w:trPr>
          <w:trHeight w:val="567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Príslušenstvo</w:t>
            </w:r>
          </w:p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1F" w:rsidRDefault="00135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Frézovacia a vŕtacia hlava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Automaticky  manipulovaná s vlastného stojanu.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 dvoch deliacich rovinách polo</w:t>
            </w:r>
            <w:r w:rsidR="005A57D4">
              <w:rPr>
                <w:rFonts w:ascii="Times New Roman" w:hAnsi="Times New Roman" w:cs="Times New Roman"/>
                <w:bCs/>
                <w:sz w:val="24"/>
                <w:szCs w:val="24"/>
              </w:rPr>
              <w:t>hovaná s indexom 2,5 stupňa a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 dosahom osi nástroja na stred stola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Obrobková sonda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Bezkábelový prenos dát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Mechanická protikolízna ochrana </w:t>
            </w:r>
          </w:p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 možnostou merania otupenia nástroja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 prenosom dát do systému stroja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</w:tr>
      <w:tr w:rsidR="0013551F" w:rsidTr="0013551F">
        <w:trPr>
          <w:trHeight w:val="510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Ďalšie požiadavky k dodaniu a sfunkčneniu zariadenia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</w:tr>
      <w:tr w:rsidR="0013551F" w:rsidTr="001355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1F" w:rsidRDefault="0013551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Inštalácia, t.j. umiestnenie a upevnenie zariadenia podľa pokynov zadávateľa. </w:t>
            </w:r>
          </w:p>
        </w:tc>
      </w:tr>
    </w:tbl>
    <w:p w:rsidR="00851E43" w:rsidRDefault="00851E43" w:rsidP="00B266C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04CB" w:rsidRPr="0036597A" w:rsidRDefault="0036597A" w:rsidP="00B266C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2</w:t>
      </w: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1763"/>
        <w:gridCol w:w="2710"/>
        <w:gridCol w:w="3442"/>
        <w:gridCol w:w="2541"/>
      </w:tblGrid>
      <w:tr w:rsidR="003F04CB" w:rsidTr="003F04CB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04CB" w:rsidRPr="0036597A" w:rsidRDefault="00F20DF9" w:rsidP="0036597A">
            <w:pPr>
              <w:tabs>
                <w:tab w:val="left" w:pos="496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7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sk-SK"/>
              </w:rPr>
              <w:t>Laserový páliaci stroj – 1 ks</w:t>
            </w:r>
          </w:p>
        </w:tc>
      </w:tr>
      <w:tr w:rsidR="003F04CB" w:rsidTr="003F04CB">
        <w:trPr>
          <w:trHeight w:val="510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Default="003F04CB" w:rsidP="00EE4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Hlavné technické údaje </w:t>
            </w:r>
            <w:r w:rsidR="00EE4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laserového páliaceho stroja</w:t>
            </w: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Default="003F0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Default="003F0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</w:tr>
      <w:tr w:rsidR="003F04CB" w:rsidTr="003F0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Default="003F0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Default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Vláknový fiber laser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Default="003F0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3F04CB" w:rsidTr="003F0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Default="003F04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Default="00D4549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Trva</w:t>
            </w:r>
            <w:r w:rsidR="00162DFC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ý výkon laserového zdroja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4CB" w:rsidRDefault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3000 W</w:t>
            </w:r>
          </w:p>
        </w:tc>
      </w:tr>
      <w:tr w:rsidR="00D45490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90" w:rsidRDefault="00D45490" w:rsidP="00D45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X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3000 mm</w:t>
            </w:r>
          </w:p>
        </w:tc>
      </w:tr>
      <w:tr w:rsidR="00D45490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90" w:rsidRDefault="00D45490" w:rsidP="00D45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Y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1500 mm</w:t>
            </w:r>
          </w:p>
        </w:tc>
      </w:tr>
      <w:tr w:rsidR="00D45490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90" w:rsidRDefault="00D45490" w:rsidP="00D45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Z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110 mm</w:t>
            </w:r>
          </w:p>
        </w:tc>
      </w:tr>
      <w:tr w:rsidR="00D45490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90" w:rsidRDefault="00D45490" w:rsidP="00D45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Rýchlosť osí simultánne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140 m/min. </w:t>
            </w:r>
          </w:p>
        </w:tc>
      </w:tr>
      <w:tr w:rsidR="00D45490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90" w:rsidRDefault="00D45490" w:rsidP="00D45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Vlnová </w:t>
            </w:r>
            <w:r w:rsidR="00EE4B96">
              <w:rPr>
                <w:rFonts w:ascii="Times New Roman" w:hAnsi="Times New Roman" w:cs="Times New Roman"/>
                <w:bCs/>
                <w:sz w:val="24"/>
                <w:szCs w:val="24"/>
              </w:rPr>
              <w:t>dĺžka laserového lúča v hodnote z rozmedzia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1 µm do 1,05 µm</w:t>
            </w:r>
          </w:p>
        </w:tc>
      </w:tr>
      <w:tr w:rsidR="00D45490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90" w:rsidRDefault="00D45490" w:rsidP="00D45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Konštrukčná oceľ – hrúbka spracovávaného plechu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20 mm</w:t>
            </w:r>
          </w:p>
        </w:tc>
      </w:tr>
      <w:tr w:rsidR="00D45490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90" w:rsidRDefault="00D45490" w:rsidP="00D45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D454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Usľachtilá oceľ – hrúbka spracovávaného plechu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90" w:rsidRDefault="00D45490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1A78E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mm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Hliník – hrúbka spracovávaného plechu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15 mm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Meď – hrúbka spracovávaného plechu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 mm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Mosadz – hrúbka spracovávaného plechu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5 mm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Šošovka chránená ochranným sklom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Príprava laserového zdroja na 2. výstup optického kábla využiteľný pre aplikácie zvárania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pred kolíziou</w:t>
            </w:r>
            <w:r w:rsidR="00EE4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 4. stupňoch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EE4B96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Pr="00EE4B96" w:rsidRDefault="00EE4B96" w:rsidP="00E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1. stupni pružným uložením hlavy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EE4B96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2. stupni snímačom pretlaku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EE4B96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3. stupni dízou s keramikou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EE4B96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EE4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reznej hlavy v 4. stupni prostredníctvom softvérovo - hardvérového systému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96" w:rsidRDefault="00EE4B96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Rýchle doprogramovanie zbytkovej tabule priamo v riadení stroja pre využitie zbytkového plechu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Jedna adaptívna rezacia hlava pre všetky hrúbky plechu bez potreby výmeny šošovky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Filtračná jednotka na odsávanie splodín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menič paliet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Počet paliet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2 ks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Dopravník na odvádzanie strusky a prepadnutých malých dielov pod reznou oblasťou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Vysokotlakové rezanie dusíkom pre získanie nezaoxidovaných rezných rán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1A78E1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Funkcia automatického vypínania do pohotovostného režimu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Senzorická kontrola stavu znečistenia šošovky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Senzor na riadenie procesu zápichu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Automatická identifikácia polohy plechu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Presnosť polohovania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+/- 0,05 mm</w:t>
            </w:r>
          </w:p>
        </w:tc>
      </w:tr>
      <w:tr w:rsidR="001A78E1" w:rsidTr="00D45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Riadiaci panel v slovenskom alebo českom jazyku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CC67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Elektrický príkon zariadenia s chladením a odsávaním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max. 30 kW</w:t>
            </w:r>
          </w:p>
        </w:tc>
      </w:tr>
      <w:tr w:rsidR="001A78E1" w:rsidTr="00CC67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Zariadenie spĺňa príslušné bezpečnostné normy a CE certifikát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CC67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Diaľková servisná diagnostika cez internet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1A78E1" w:rsidTr="00CC67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1" w:rsidRDefault="001A78E1" w:rsidP="001A78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Externé programovanie zariadenia pre plechy a profily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E1" w:rsidRDefault="00CC6742" w:rsidP="001A7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CC6742" w:rsidTr="003F0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Možnosť priameho prenosu dát pre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komunikáciu s externými počítačovými aplikáciami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CC6742" w:rsidTr="003F0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Možnosť manažérskeho sledovania efektivity prevádzky stroja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CC6742" w:rsidTr="003F04CB">
        <w:trPr>
          <w:trHeight w:val="567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Príslušenstvo</w:t>
            </w:r>
          </w:p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</w:tr>
      <w:tr w:rsidR="00CC6742" w:rsidTr="00CC67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Zariadenie na opracovanie profilov a trubiek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Maximálny opracovateľný  priemer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350 mm</w:t>
            </w:r>
          </w:p>
        </w:tc>
      </w:tr>
      <w:tr w:rsidR="00CC6742" w:rsidTr="00CC67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717921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upínač trubiek a profilov s nožným ovládačom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717921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CC6742" w:rsidTr="00CC67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0A5E54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Nosník na podopretie dlhších rúr a profilov v reznej oblasti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0A5E54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CC6742" w:rsidTr="00CC67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EE4B96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Bezpečnostné odpojiteľné puzdro na posun profilov do reznej oblasti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42" w:rsidRDefault="00EE4B96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</w:tr>
      <w:tr w:rsidR="00CC6742" w:rsidTr="003F04CB">
        <w:trPr>
          <w:trHeight w:val="510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Ďalšie požiadavky k dodaniu a sfunkčneniu zariadenia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</w:tr>
      <w:tr w:rsidR="00CC6742" w:rsidTr="003F04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42" w:rsidRDefault="00CC6742" w:rsidP="00CC67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Inštalácia, t.j. umiestnenie a upevnenie zariadenia podľa pokynov zadávateľa. </w:t>
            </w:r>
          </w:p>
        </w:tc>
      </w:tr>
    </w:tbl>
    <w:p w:rsidR="003F04CB" w:rsidRDefault="003F04CB" w:rsidP="00B266C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6CA" w:rsidRDefault="00B266CA" w:rsidP="00B266CA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6CA">
        <w:rPr>
          <w:rFonts w:ascii="Times New Roman" w:hAnsi="Times New Roman" w:cs="Times New Roman"/>
          <w:bCs/>
          <w:sz w:val="24"/>
          <w:szCs w:val="24"/>
        </w:rPr>
        <w:t>Predmet zákazky v celom rozsahu je opísaný tak, aby bol presne a zro</w:t>
      </w:r>
      <w:r w:rsidR="009F3E86">
        <w:rPr>
          <w:rFonts w:ascii="Times New Roman" w:hAnsi="Times New Roman" w:cs="Times New Roman"/>
          <w:bCs/>
          <w:sz w:val="24"/>
          <w:szCs w:val="24"/>
        </w:rPr>
        <w:t>zumiteľne špecifikovaný. Obstarávané zariadenie musí</w:t>
      </w:r>
      <w:r w:rsidRPr="00B266CA">
        <w:rPr>
          <w:rFonts w:ascii="Times New Roman" w:hAnsi="Times New Roman" w:cs="Times New Roman"/>
          <w:bCs/>
          <w:sz w:val="24"/>
          <w:szCs w:val="24"/>
        </w:rPr>
        <w:t xml:space="preserve"> byť nové (nie použité, ani repasované). Ak by sa niektorá z technických požiadaviek odvolávala na konkrétneho výrobcu, výrobný postup, </w:t>
      </w:r>
      <w:r>
        <w:rPr>
          <w:rFonts w:ascii="Times New Roman" w:hAnsi="Times New Roman" w:cs="Times New Roman"/>
          <w:bCs/>
          <w:sz w:val="24"/>
          <w:szCs w:val="24"/>
        </w:rPr>
        <w:t>obchodné označenie</w:t>
      </w:r>
      <w:r w:rsidRPr="00B266CA">
        <w:rPr>
          <w:rFonts w:ascii="Times New Roman" w:hAnsi="Times New Roman" w:cs="Times New Roman"/>
          <w:bCs/>
          <w:sz w:val="24"/>
          <w:szCs w:val="24"/>
        </w:rPr>
        <w:t>, patent, typ, krajinu, oblasť alebo miesto pôvodu alebo výroby, osoba povinná umožní nahradiť takýto výrobok ekvivalentným výrobkom pod podmienkou, že ekvivalentný výrobok bude spĺňať úžitkové, prevádzkové a funkčné charakteristiky, ktoré sú nevyhnutné na zabezpečenie účelu, na ktoré sú uvedené technológie a zariadenia určené a schválené. Pri výrobkoch, príslušenstvách konkrétnej značky, uchádzač môže predložiť aj ekvivalenty inej značky v rovnakej, alebo vyššej kvalite.</w:t>
      </w:r>
    </w:p>
    <w:p w:rsidR="00B266CA" w:rsidRDefault="00B266CA" w:rsidP="00A30F9A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6CA" w:rsidRDefault="00B266CA" w:rsidP="00A30F9A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E5B" w:rsidRDefault="00593F22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Ladomerská Vieska</w:t>
      </w:r>
      <w:r w:rsidR="003E76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4B2">
        <w:rPr>
          <w:rFonts w:ascii="Times New Roman" w:hAnsi="Times New Roman" w:cs="Times New Roman"/>
          <w:bCs/>
          <w:sz w:val="24"/>
          <w:szCs w:val="24"/>
        </w:rPr>
        <w:t>10</w:t>
      </w:r>
      <w:r w:rsidR="00CD741E" w:rsidRPr="008E2165">
        <w:rPr>
          <w:rFonts w:ascii="Times New Roman" w:hAnsi="Times New Roman" w:cs="Times New Roman"/>
          <w:bCs/>
          <w:sz w:val="24"/>
          <w:szCs w:val="24"/>
        </w:rPr>
        <w:t>.</w:t>
      </w:r>
      <w:r w:rsidR="004D1F92">
        <w:rPr>
          <w:rFonts w:ascii="Times New Roman" w:hAnsi="Times New Roman" w:cs="Times New Roman"/>
          <w:bCs/>
          <w:sz w:val="24"/>
          <w:szCs w:val="24"/>
        </w:rPr>
        <w:t>06</w:t>
      </w:r>
      <w:r w:rsidR="009F3E86">
        <w:rPr>
          <w:rFonts w:ascii="Times New Roman" w:hAnsi="Times New Roman" w:cs="Times New Roman"/>
          <w:bCs/>
          <w:sz w:val="24"/>
          <w:szCs w:val="24"/>
        </w:rPr>
        <w:t>.2019</w:t>
      </w:r>
    </w:p>
    <w:p w:rsidR="00C60E5B" w:rsidRDefault="00C60E5B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E5B" w:rsidRDefault="00C60E5B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0E5B" w:rsidRDefault="00C60E5B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F92" w:rsidRDefault="00593F22" w:rsidP="00C60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Peter Kruml</w:t>
      </w:r>
    </w:p>
    <w:p w:rsidR="00C60E5B" w:rsidRDefault="00C60E5B" w:rsidP="00C60E5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konateľ spoločnosti</w:t>
      </w:r>
    </w:p>
    <w:p w:rsidR="00C60E5B" w:rsidRPr="00C60E5B" w:rsidRDefault="00C60E5B" w:rsidP="00C60E5B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197" w:rsidRDefault="00D34B40" w:rsidP="00593F22">
      <w:pPr>
        <w:tabs>
          <w:tab w:val="left" w:pos="4140"/>
        </w:tabs>
        <w:spacing w:after="0"/>
        <w:ind w:left="1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8E2165">
        <w:rPr>
          <w:rFonts w:ascii="Times New Roman" w:hAnsi="Times New Roman" w:cs="Times New Roman"/>
          <w:sz w:val="24"/>
          <w:szCs w:val="24"/>
        </w:rPr>
        <w:tab/>
      </w:r>
    </w:p>
    <w:sectPr w:rsidR="00024197" w:rsidSect="00DC281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66" w:rsidRDefault="00624B66" w:rsidP="00D34B40">
      <w:pPr>
        <w:spacing w:after="0" w:line="240" w:lineRule="auto"/>
      </w:pPr>
      <w:r>
        <w:separator/>
      </w:r>
    </w:p>
  </w:endnote>
  <w:endnote w:type="continuationSeparator" w:id="0">
    <w:p w:rsidR="00624B66" w:rsidRDefault="00624B66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19084"/>
      <w:docPartObj>
        <w:docPartGallery w:val="Page Numbers (Bottom of Page)"/>
        <w:docPartUnique/>
      </w:docPartObj>
    </w:sdtPr>
    <w:sdtEndPr/>
    <w:sdtContent>
      <w:p w:rsidR="00BC33E7" w:rsidRDefault="00BC33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EAC" w:rsidRPr="00315EAC">
          <w:rPr>
            <w:noProof/>
            <w:lang w:val="sk-SK"/>
          </w:rPr>
          <w:t>4</w:t>
        </w:r>
        <w:r>
          <w:fldChar w:fldCharType="end"/>
        </w:r>
      </w:p>
    </w:sdtContent>
  </w:sdt>
  <w:p w:rsidR="00BC33E7" w:rsidRDefault="00BC33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66" w:rsidRDefault="00624B66" w:rsidP="00D34B40">
      <w:pPr>
        <w:spacing w:after="0" w:line="240" w:lineRule="auto"/>
      </w:pPr>
      <w:r>
        <w:separator/>
      </w:r>
    </w:p>
  </w:footnote>
  <w:footnote w:type="continuationSeparator" w:id="0">
    <w:p w:rsidR="00624B66" w:rsidRDefault="00624B66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40" w:rsidRPr="00393AD7" w:rsidRDefault="00D34B40" w:rsidP="00393AD7">
    <w:pPr>
      <w:pStyle w:val="Hlavika"/>
      <w:jc w:val="right"/>
      <w:rPr>
        <w:rFonts w:ascii="Times New Roman" w:hAnsi="Times New Roman" w:cs="Times New Roman"/>
      </w:rPr>
    </w:pPr>
    <w:r w:rsidRPr="00393AD7">
      <w:rPr>
        <w:rFonts w:ascii="Times New Roman" w:hAnsi="Times New Roman" w:cs="Times New Roman"/>
      </w:rPr>
      <w:t>Príloha č. 1</w:t>
    </w:r>
    <w:r w:rsidR="00393AD7" w:rsidRPr="00393AD7">
      <w:rPr>
        <w:rFonts w:ascii="Times New Roman" w:hAnsi="Times New Roman" w:cs="Times New Roman"/>
      </w:rPr>
      <w:t xml:space="preserve"> Výzvy na preloženie ponúk</w:t>
    </w:r>
    <w:r w:rsidR="00B265EC" w:rsidRPr="00393AD7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20D6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703"/>
    <w:multiLevelType w:val="hybridMultilevel"/>
    <w:tmpl w:val="96D2A2C0"/>
    <w:lvl w:ilvl="0" w:tplc="61C6660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8548C"/>
    <w:multiLevelType w:val="hybridMultilevel"/>
    <w:tmpl w:val="E00CE22E"/>
    <w:lvl w:ilvl="0" w:tplc="0636A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C335A"/>
    <w:multiLevelType w:val="hybridMultilevel"/>
    <w:tmpl w:val="EEC0ECD0"/>
    <w:lvl w:ilvl="0" w:tplc="5554DB6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6"/>
  </w:num>
  <w:num w:numId="15">
    <w:abstractNumId w:val="1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35"/>
    <w:rsid w:val="0000629C"/>
    <w:rsid w:val="00017219"/>
    <w:rsid w:val="00022400"/>
    <w:rsid w:val="00024197"/>
    <w:rsid w:val="00026D88"/>
    <w:rsid w:val="00027008"/>
    <w:rsid w:val="0003129B"/>
    <w:rsid w:val="000314D5"/>
    <w:rsid w:val="00032257"/>
    <w:rsid w:val="00050C37"/>
    <w:rsid w:val="00065259"/>
    <w:rsid w:val="00073161"/>
    <w:rsid w:val="000741D3"/>
    <w:rsid w:val="00080531"/>
    <w:rsid w:val="00082434"/>
    <w:rsid w:val="000A0023"/>
    <w:rsid w:val="000A5D97"/>
    <w:rsid w:val="000A5E54"/>
    <w:rsid w:val="000A6A53"/>
    <w:rsid w:val="000D4EA0"/>
    <w:rsid w:val="000D5083"/>
    <w:rsid w:val="000E49EB"/>
    <w:rsid w:val="000F4059"/>
    <w:rsid w:val="00127C61"/>
    <w:rsid w:val="00133A96"/>
    <w:rsid w:val="0013551F"/>
    <w:rsid w:val="00144D23"/>
    <w:rsid w:val="00152458"/>
    <w:rsid w:val="0016057A"/>
    <w:rsid w:val="00162DFC"/>
    <w:rsid w:val="001649CF"/>
    <w:rsid w:val="00166427"/>
    <w:rsid w:val="0017791D"/>
    <w:rsid w:val="00190343"/>
    <w:rsid w:val="001A175B"/>
    <w:rsid w:val="001A78E1"/>
    <w:rsid w:val="001B5EF4"/>
    <w:rsid w:val="001B7AE4"/>
    <w:rsid w:val="001C2829"/>
    <w:rsid w:val="001C2F89"/>
    <w:rsid w:val="001F1AC0"/>
    <w:rsid w:val="001F66D8"/>
    <w:rsid w:val="00214699"/>
    <w:rsid w:val="00214AED"/>
    <w:rsid w:val="002250EF"/>
    <w:rsid w:val="00232158"/>
    <w:rsid w:val="00252114"/>
    <w:rsid w:val="002530D9"/>
    <w:rsid w:val="00256622"/>
    <w:rsid w:val="0028045C"/>
    <w:rsid w:val="002809A7"/>
    <w:rsid w:val="00281FD0"/>
    <w:rsid w:val="00285E30"/>
    <w:rsid w:val="0029597E"/>
    <w:rsid w:val="002B7289"/>
    <w:rsid w:val="002C6C3D"/>
    <w:rsid w:val="002C776B"/>
    <w:rsid w:val="002D39E4"/>
    <w:rsid w:val="002D5884"/>
    <w:rsid w:val="0031506B"/>
    <w:rsid w:val="00315EAC"/>
    <w:rsid w:val="00335FB8"/>
    <w:rsid w:val="00337535"/>
    <w:rsid w:val="00342755"/>
    <w:rsid w:val="0035596D"/>
    <w:rsid w:val="00361A2A"/>
    <w:rsid w:val="0036597A"/>
    <w:rsid w:val="00374F3D"/>
    <w:rsid w:val="00387820"/>
    <w:rsid w:val="00393AD7"/>
    <w:rsid w:val="003A27F0"/>
    <w:rsid w:val="003B1227"/>
    <w:rsid w:val="003B6495"/>
    <w:rsid w:val="003C01EE"/>
    <w:rsid w:val="003C0D57"/>
    <w:rsid w:val="003C736E"/>
    <w:rsid w:val="003E760E"/>
    <w:rsid w:val="003E766F"/>
    <w:rsid w:val="003F04CB"/>
    <w:rsid w:val="003F501B"/>
    <w:rsid w:val="004208B8"/>
    <w:rsid w:val="00422176"/>
    <w:rsid w:val="00435F7C"/>
    <w:rsid w:val="004376DE"/>
    <w:rsid w:val="004402C5"/>
    <w:rsid w:val="004543DF"/>
    <w:rsid w:val="004562C8"/>
    <w:rsid w:val="00466D99"/>
    <w:rsid w:val="004706E0"/>
    <w:rsid w:val="00471F5A"/>
    <w:rsid w:val="0048501E"/>
    <w:rsid w:val="004872DC"/>
    <w:rsid w:val="004A5328"/>
    <w:rsid w:val="004A631D"/>
    <w:rsid w:val="004C0639"/>
    <w:rsid w:val="004D1F92"/>
    <w:rsid w:val="004D2788"/>
    <w:rsid w:val="004D5542"/>
    <w:rsid w:val="00500BB5"/>
    <w:rsid w:val="00501BE0"/>
    <w:rsid w:val="00523FF0"/>
    <w:rsid w:val="00543418"/>
    <w:rsid w:val="00543D82"/>
    <w:rsid w:val="00561404"/>
    <w:rsid w:val="005779FF"/>
    <w:rsid w:val="005865B6"/>
    <w:rsid w:val="00593F22"/>
    <w:rsid w:val="005A138C"/>
    <w:rsid w:val="005A2BDD"/>
    <w:rsid w:val="005A57D4"/>
    <w:rsid w:val="005B321B"/>
    <w:rsid w:val="005B6B76"/>
    <w:rsid w:val="005C0978"/>
    <w:rsid w:val="005C3277"/>
    <w:rsid w:val="005E40F3"/>
    <w:rsid w:val="005F37FF"/>
    <w:rsid w:val="005F4AFE"/>
    <w:rsid w:val="0060018E"/>
    <w:rsid w:val="00613FEE"/>
    <w:rsid w:val="00615B3C"/>
    <w:rsid w:val="00616999"/>
    <w:rsid w:val="00621787"/>
    <w:rsid w:val="00624B66"/>
    <w:rsid w:val="00633BE7"/>
    <w:rsid w:val="006378E8"/>
    <w:rsid w:val="00640BD9"/>
    <w:rsid w:val="006556BB"/>
    <w:rsid w:val="006900E3"/>
    <w:rsid w:val="00696EBF"/>
    <w:rsid w:val="006B4CFC"/>
    <w:rsid w:val="006E6809"/>
    <w:rsid w:val="006E69B6"/>
    <w:rsid w:val="00703C3E"/>
    <w:rsid w:val="007103F8"/>
    <w:rsid w:val="00717921"/>
    <w:rsid w:val="0072071A"/>
    <w:rsid w:val="00724D35"/>
    <w:rsid w:val="007264B0"/>
    <w:rsid w:val="007328A4"/>
    <w:rsid w:val="00733222"/>
    <w:rsid w:val="00747E2A"/>
    <w:rsid w:val="00753386"/>
    <w:rsid w:val="007708BE"/>
    <w:rsid w:val="007737EE"/>
    <w:rsid w:val="00775020"/>
    <w:rsid w:val="0079272A"/>
    <w:rsid w:val="007A15B8"/>
    <w:rsid w:val="007B7C45"/>
    <w:rsid w:val="007C0536"/>
    <w:rsid w:val="007C597D"/>
    <w:rsid w:val="007D1C58"/>
    <w:rsid w:val="008033C6"/>
    <w:rsid w:val="0081286B"/>
    <w:rsid w:val="00815678"/>
    <w:rsid w:val="008340B7"/>
    <w:rsid w:val="008376A6"/>
    <w:rsid w:val="00841586"/>
    <w:rsid w:val="00851E43"/>
    <w:rsid w:val="00855D00"/>
    <w:rsid w:val="008603E7"/>
    <w:rsid w:val="00864788"/>
    <w:rsid w:val="00875CE5"/>
    <w:rsid w:val="00891E7B"/>
    <w:rsid w:val="00892879"/>
    <w:rsid w:val="008A0589"/>
    <w:rsid w:val="008A0F6C"/>
    <w:rsid w:val="008B4A6C"/>
    <w:rsid w:val="008B6F1C"/>
    <w:rsid w:val="008C4CA3"/>
    <w:rsid w:val="008D1103"/>
    <w:rsid w:val="008D11C9"/>
    <w:rsid w:val="008D3432"/>
    <w:rsid w:val="008E2165"/>
    <w:rsid w:val="008F200C"/>
    <w:rsid w:val="00903966"/>
    <w:rsid w:val="00913C9B"/>
    <w:rsid w:val="00913F71"/>
    <w:rsid w:val="0091476B"/>
    <w:rsid w:val="009212F7"/>
    <w:rsid w:val="00940CB3"/>
    <w:rsid w:val="009471FE"/>
    <w:rsid w:val="00953E7A"/>
    <w:rsid w:val="0095434B"/>
    <w:rsid w:val="0095688E"/>
    <w:rsid w:val="009871A3"/>
    <w:rsid w:val="009A4B77"/>
    <w:rsid w:val="009A664B"/>
    <w:rsid w:val="009C0F21"/>
    <w:rsid w:val="009C1AA7"/>
    <w:rsid w:val="009C5561"/>
    <w:rsid w:val="009D387E"/>
    <w:rsid w:val="009D60B8"/>
    <w:rsid w:val="009D6EC0"/>
    <w:rsid w:val="009E0296"/>
    <w:rsid w:val="009E40BF"/>
    <w:rsid w:val="009E4D25"/>
    <w:rsid w:val="009F3E86"/>
    <w:rsid w:val="00A01C47"/>
    <w:rsid w:val="00A12A08"/>
    <w:rsid w:val="00A14FEE"/>
    <w:rsid w:val="00A1545A"/>
    <w:rsid w:val="00A2157D"/>
    <w:rsid w:val="00A23837"/>
    <w:rsid w:val="00A23A97"/>
    <w:rsid w:val="00A24E66"/>
    <w:rsid w:val="00A30EDE"/>
    <w:rsid w:val="00A30F9A"/>
    <w:rsid w:val="00A46680"/>
    <w:rsid w:val="00A735E6"/>
    <w:rsid w:val="00A755E4"/>
    <w:rsid w:val="00A805D7"/>
    <w:rsid w:val="00A828C9"/>
    <w:rsid w:val="00A91414"/>
    <w:rsid w:val="00A91CAD"/>
    <w:rsid w:val="00A93C2A"/>
    <w:rsid w:val="00A945A2"/>
    <w:rsid w:val="00AA06E9"/>
    <w:rsid w:val="00AA5756"/>
    <w:rsid w:val="00AB500E"/>
    <w:rsid w:val="00AB6179"/>
    <w:rsid w:val="00AB78DA"/>
    <w:rsid w:val="00AC1C6B"/>
    <w:rsid w:val="00AE28FB"/>
    <w:rsid w:val="00AF2655"/>
    <w:rsid w:val="00B124E8"/>
    <w:rsid w:val="00B2086B"/>
    <w:rsid w:val="00B20E71"/>
    <w:rsid w:val="00B265EC"/>
    <w:rsid w:val="00B266CA"/>
    <w:rsid w:val="00B30FF0"/>
    <w:rsid w:val="00B350CD"/>
    <w:rsid w:val="00B4675E"/>
    <w:rsid w:val="00B5711F"/>
    <w:rsid w:val="00B60BDD"/>
    <w:rsid w:val="00B63D57"/>
    <w:rsid w:val="00B64AED"/>
    <w:rsid w:val="00B87F6A"/>
    <w:rsid w:val="00B93A37"/>
    <w:rsid w:val="00B96381"/>
    <w:rsid w:val="00BA2029"/>
    <w:rsid w:val="00BA4041"/>
    <w:rsid w:val="00BB12B8"/>
    <w:rsid w:val="00BC33E7"/>
    <w:rsid w:val="00BD5F1F"/>
    <w:rsid w:val="00BE2581"/>
    <w:rsid w:val="00BE51E7"/>
    <w:rsid w:val="00BF3C10"/>
    <w:rsid w:val="00C05683"/>
    <w:rsid w:val="00C05DAB"/>
    <w:rsid w:val="00C07ED7"/>
    <w:rsid w:val="00C264F8"/>
    <w:rsid w:val="00C56876"/>
    <w:rsid w:val="00C570BD"/>
    <w:rsid w:val="00C60E5B"/>
    <w:rsid w:val="00C622F9"/>
    <w:rsid w:val="00C6746E"/>
    <w:rsid w:val="00C80281"/>
    <w:rsid w:val="00C91981"/>
    <w:rsid w:val="00CA10DE"/>
    <w:rsid w:val="00CA3BDF"/>
    <w:rsid w:val="00CC3720"/>
    <w:rsid w:val="00CC6742"/>
    <w:rsid w:val="00CC76B5"/>
    <w:rsid w:val="00CD741E"/>
    <w:rsid w:val="00CE32B6"/>
    <w:rsid w:val="00CE59BA"/>
    <w:rsid w:val="00CF67A1"/>
    <w:rsid w:val="00CF6C0D"/>
    <w:rsid w:val="00CF76FB"/>
    <w:rsid w:val="00D03928"/>
    <w:rsid w:val="00D041AD"/>
    <w:rsid w:val="00D101C5"/>
    <w:rsid w:val="00D12FC6"/>
    <w:rsid w:val="00D17A03"/>
    <w:rsid w:val="00D23C70"/>
    <w:rsid w:val="00D27F45"/>
    <w:rsid w:val="00D3467B"/>
    <w:rsid w:val="00D34B40"/>
    <w:rsid w:val="00D3781F"/>
    <w:rsid w:val="00D425AC"/>
    <w:rsid w:val="00D45490"/>
    <w:rsid w:val="00D631FC"/>
    <w:rsid w:val="00D76F48"/>
    <w:rsid w:val="00D85E53"/>
    <w:rsid w:val="00D86BBB"/>
    <w:rsid w:val="00DB3B9F"/>
    <w:rsid w:val="00DB5B58"/>
    <w:rsid w:val="00DC281C"/>
    <w:rsid w:val="00DC289A"/>
    <w:rsid w:val="00DC329C"/>
    <w:rsid w:val="00DE17E8"/>
    <w:rsid w:val="00DE7B41"/>
    <w:rsid w:val="00DE7D3A"/>
    <w:rsid w:val="00DF6B09"/>
    <w:rsid w:val="00E00834"/>
    <w:rsid w:val="00E008C6"/>
    <w:rsid w:val="00E008D3"/>
    <w:rsid w:val="00E019C0"/>
    <w:rsid w:val="00E02F00"/>
    <w:rsid w:val="00E26FDC"/>
    <w:rsid w:val="00E34C70"/>
    <w:rsid w:val="00E42735"/>
    <w:rsid w:val="00E43552"/>
    <w:rsid w:val="00E54143"/>
    <w:rsid w:val="00E57B60"/>
    <w:rsid w:val="00E83D63"/>
    <w:rsid w:val="00E91C45"/>
    <w:rsid w:val="00E91E32"/>
    <w:rsid w:val="00E96112"/>
    <w:rsid w:val="00E97ADB"/>
    <w:rsid w:val="00EA6D0F"/>
    <w:rsid w:val="00EB615C"/>
    <w:rsid w:val="00EB7C60"/>
    <w:rsid w:val="00EC23F6"/>
    <w:rsid w:val="00EC7557"/>
    <w:rsid w:val="00ED6E64"/>
    <w:rsid w:val="00EE4B96"/>
    <w:rsid w:val="00EE4D40"/>
    <w:rsid w:val="00F032CC"/>
    <w:rsid w:val="00F15881"/>
    <w:rsid w:val="00F20289"/>
    <w:rsid w:val="00F20DF9"/>
    <w:rsid w:val="00F3207C"/>
    <w:rsid w:val="00F32224"/>
    <w:rsid w:val="00F32405"/>
    <w:rsid w:val="00F32A30"/>
    <w:rsid w:val="00F34844"/>
    <w:rsid w:val="00F364B2"/>
    <w:rsid w:val="00F400F9"/>
    <w:rsid w:val="00F67DEF"/>
    <w:rsid w:val="00F709E1"/>
    <w:rsid w:val="00FA7418"/>
    <w:rsid w:val="00FB4EB8"/>
    <w:rsid w:val="00FB6653"/>
    <w:rsid w:val="00FB6CC3"/>
    <w:rsid w:val="00FC2B67"/>
    <w:rsid w:val="00FD0A2F"/>
    <w:rsid w:val="00FD11D8"/>
    <w:rsid w:val="00FD64FA"/>
    <w:rsid w:val="00FF543B"/>
    <w:rsid w:val="00FF74F1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48F3BE-404E-47ED-A4EE-F341B94F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39"/>
    <w:rsid w:val="00152458"/>
    <w:pPr>
      <w:spacing w:after="0" w:line="240" w:lineRule="auto"/>
    </w:pPr>
    <w:rPr>
      <w:rFonts w:eastAsiaTheme="minorHAnsi"/>
      <w:lang w:val="sk-S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1A2CBBC-1952-494E-AC4D-9ACDDA35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MJ</cp:lastModifiedBy>
  <cp:revision>123</cp:revision>
  <dcterms:created xsi:type="dcterms:W3CDTF">2019-02-28T07:38:00Z</dcterms:created>
  <dcterms:modified xsi:type="dcterms:W3CDTF">2019-06-06T13:14:00Z</dcterms:modified>
</cp:coreProperties>
</file>